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95" w:rsidRPr="00E52271" w:rsidRDefault="00934D95" w:rsidP="00934D95">
      <w:pPr>
        <w:spacing w:after="240" w:line="240" w:lineRule="auto"/>
        <w:rPr>
          <w:b/>
          <w:szCs w:val="24"/>
        </w:rPr>
      </w:pPr>
      <w:r w:rsidRPr="00E52271">
        <w:rPr>
          <w:b/>
          <w:szCs w:val="24"/>
        </w:rPr>
        <w:t>Załącznik 4 Budżet LSR</w:t>
      </w:r>
    </w:p>
    <w:p w:rsidR="00934D95" w:rsidRPr="00E52271" w:rsidRDefault="00934D95" w:rsidP="00934D95">
      <w:pPr>
        <w:spacing w:line="240" w:lineRule="auto"/>
        <w:jc w:val="center"/>
        <w:rPr>
          <w:b/>
          <w:sz w:val="22"/>
        </w:rPr>
      </w:pPr>
      <w:r w:rsidRPr="00E52271">
        <w:rPr>
          <w:b/>
          <w:sz w:val="22"/>
        </w:rPr>
        <w:t>Tabela Budżet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276"/>
        <w:gridCol w:w="992"/>
        <w:gridCol w:w="993"/>
        <w:gridCol w:w="992"/>
        <w:gridCol w:w="1134"/>
        <w:gridCol w:w="1275"/>
      </w:tblGrid>
      <w:tr w:rsidR="00934D95" w:rsidRPr="00E52271" w:rsidTr="00BB6D07">
        <w:trPr>
          <w:trHeight w:val="347"/>
          <w:jc w:val="center"/>
        </w:trPr>
        <w:tc>
          <w:tcPr>
            <w:tcW w:w="3403" w:type="dxa"/>
            <w:vMerge w:val="restart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>Zakres wsparcia</w:t>
            </w:r>
          </w:p>
        </w:tc>
        <w:tc>
          <w:tcPr>
            <w:tcW w:w="6662" w:type="dxa"/>
            <w:gridSpan w:val="6"/>
            <w:shd w:val="clear" w:color="auto" w:fill="A8D08D"/>
          </w:tcPr>
          <w:p w:rsidR="00934D95" w:rsidRPr="00E52271" w:rsidRDefault="00934D9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Wsparcie finansowe (PLN)</w:t>
            </w:r>
          </w:p>
        </w:tc>
      </w:tr>
      <w:tr w:rsidR="00934D95" w:rsidRPr="00E52271" w:rsidTr="00BB6D07">
        <w:trPr>
          <w:trHeight w:val="420"/>
          <w:jc w:val="center"/>
        </w:trPr>
        <w:tc>
          <w:tcPr>
            <w:tcW w:w="3403" w:type="dxa"/>
            <w:vMerge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</w:pPr>
          </w:p>
        </w:tc>
        <w:tc>
          <w:tcPr>
            <w:tcW w:w="1276" w:type="dxa"/>
            <w:vMerge w:val="restart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>PROW</w:t>
            </w:r>
          </w:p>
        </w:tc>
        <w:tc>
          <w:tcPr>
            <w:tcW w:w="1985" w:type="dxa"/>
            <w:gridSpan w:val="2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RPO</w:t>
            </w:r>
          </w:p>
        </w:tc>
        <w:tc>
          <w:tcPr>
            <w:tcW w:w="992" w:type="dxa"/>
            <w:vMerge w:val="restart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PO RYBY</w:t>
            </w:r>
          </w:p>
        </w:tc>
        <w:tc>
          <w:tcPr>
            <w:tcW w:w="1134" w:type="dxa"/>
            <w:vMerge w:val="restart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Fundusz wiodący</w:t>
            </w:r>
          </w:p>
        </w:tc>
        <w:tc>
          <w:tcPr>
            <w:tcW w:w="1275" w:type="dxa"/>
            <w:vMerge w:val="restart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>Razem EFSI</w:t>
            </w:r>
          </w:p>
        </w:tc>
      </w:tr>
      <w:tr w:rsidR="00934D95" w:rsidRPr="00E52271" w:rsidTr="00BB6D07">
        <w:trPr>
          <w:trHeight w:val="262"/>
          <w:jc w:val="center"/>
        </w:trPr>
        <w:tc>
          <w:tcPr>
            <w:tcW w:w="3403" w:type="dxa"/>
            <w:vMerge/>
            <w:shd w:val="clear" w:color="auto" w:fill="B1E96D"/>
            <w:vAlign w:val="center"/>
          </w:tcPr>
          <w:p w:rsidR="00934D95" w:rsidRPr="00E52271" w:rsidRDefault="00934D95" w:rsidP="00BB6D07">
            <w:pPr>
              <w:spacing w:line="240" w:lineRule="auto"/>
            </w:pPr>
          </w:p>
        </w:tc>
        <w:tc>
          <w:tcPr>
            <w:tcW w:w="1276" w:type="dxa"/>
            <w:vMerge/>
            <w:shd w:val="clear" w:color="auto" w:fill="CDF1A1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EFS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8D08D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EFRR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DF1A1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DF1A1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CDF1A1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</w:tr>
      <w:tr w:rsidR="00934D95" w:rsidRPr="00E52271" w:rsidTr="00BB6D07">
        <w:trPr>
          <w:jc w:val="center"/>
        </w:trPr>
        <w:tc>
          <w:tcPr>
            <w:tcW w:w="3403" w:type="dxa"/>
            <w:shd w:val="clear" w:color="auto" w:fill="E2EFD9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>Realizacja LSR</w:t>
            </w:r>
            <w:r w:rsidRPr="00E52271">
              <w:rPr>
                <w:sz w:val="22"/>
              </w:rPr>
              <w:t xml:space="preserve"> (art. 35 ust. 1 lit. b rozporządzenia nr 1303/2013)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8 55</w:t>
            </w:r>
            <w:r w:rsidRPr="00E52271">
              <w:rPr>
                <w:b/>
                <w:sz w:val="22"/>
              </w:rPr>
              <w:t>0 000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8 55</w:t>
            </w:r>
            <w:r w:rsidRPr="00E52271">
              <w:rPr>
                <w:b/>
                <w:sz w:val="22"/>
              </w:rPr>
              <w:t>0 000</w:t>
            </w:r>
          </w:p>
        </w:tc>
      </w:tr>
      <w:tr w:rsidR="00934D95" w:rsidRPr="00E52271" w:rsidTr="00BB6D07">
        <w:trPr>
          <w:jc w:val="center"/>
        </w:trPr>
        <w:tc>
          <w:tcPr>
            <w:tcW w:w="3403" w:type="dxa"/>
            <w:shd w:val="clear" w:color="auto" w:fill="E2EFD9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>Współpraca</w:t>
            </w:r>
            <w:r w:rsidRPr="00E52271">
              <w:rPr>
                <w:sz w:val="22"/>
              </w:rPr>
              <w:t xml:space="preserve"> (art. 35 ust. 1 lit. c rozporządzenia nr 1303/2013)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427 5</w:t>
            </w:r>
            <w:r w:rsidRPr="00E52271">
              <w:rPr>
                <w:b/>
                <w:sz w:val="22"/>
              </w:rPr>
              <w:t>00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427 5</w:t>
            </w:r>
            <w:r w:rsidRPr="00E52271">
              <w:rPr>
                <w:b/>
                <w:sz w:val="22"/>
              </w:rPr>
              <w:t>00</w:t>
            </w:r>
          </w:p>
        </w:tc>
      </w:tr>
      <w:tr w:rsidR="00934D95" w:rsidRPr="00E52271" w:rsidTr="00BB6D07">
        <w:trPr>
          <w:jc w:val="center"/>
        </w:trPr>
        <w:tc>
          <w:tcPr>
            <w:tcW w:w="3403" w:type="dxa"/>
            <w:shd w:val="clear" w:color="auto" w:fill="E2EFD9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>Koszty bieżące</w:t>
            </w:r>
            <w:r w:rsidRPr="00E52271">
              <w:rPr>
                <w:sz w:val="22"/>
              </w:rPr>
              <w:t xml:space="preserve"> (art. 35 ust. 1 lit. d rozporządzenia nr 1303/2013)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1 857 50</w:t>
            </w:r>
            <w:r w:rsidRPr="00E52271">
              <w:rPr>
                <w:b/>
                <w:sz w:val="22"/>
              </w:rPr>
              <w:t>0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1 857</w:t>
            </w:r>
            <w:r w:rsidRPr="00E52271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5</w:t>
            </w:r>
            <w:r w:rsidRPr="00E52271">
              <w:rPr>
                <w:b/>
                <w:sz w:val="22"/>
              </w:rPr>
              <w:t>00</w:t>
            </w:r>
          </w:p>
        </w:tc>
      </w:tr>
      <w:tr w:rsidR="00934D95" w:rsidRPr="00E52271" w:rsidTr="00BB6D07">
        <w:trPr>
          <w:jc w:val="center"/>
        </w:trPr>
        <w:tc>
          <w:tcPr>
            <w:tcW w:w="3403" w:type="dxa"/>
            <w:shd w:val="clear" w:color="auto" w:fill="E2EFD9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>Aktywizacja</w:t>
            </w:r>
            <w:r w:rsidRPr="00E52271">
              <w:rPr>
                <w:sz w:val="22"/>
              </w:rPr>
              <w:t xml:space="preserve"> (art. 35 ust. 1 lit. e rozporządzenia nr 1303/2013)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 w:rsidRPr="00E52271">
              <w:rPr>
                <w:b/>
                <w:sz w:val="22"/>
              </w:rPr>
              <w:t>90 000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 w:rsidRPr="00E52271">
              <w:rPr>
                <w:b/>
                <w:sz w:val="22"/>
              </w:rPr>
              <w:t>90 000</w:t>
            </w:r>
          </w:p>
        </w:tc>
      </w:tr>
      <w:tr w:rsidR="00934D95" w:rsidRPr="00E52271" w:rsidTr="00BB6D07">
        <w:trPr>
          <w:jc w:val="center"/>
        </w:trPr>
        <w:tc>
          <w:tcPr>
            <w:tcW w:w="3403" w:type="dxa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10 925 0</w:t>
            </w:r>
            <w:r w:rsidRPr="00E52271">
              <w:rPr>
                <w:b/>
                <w:sz w:val="22"/>
              </w:rPr>
              <w:t>00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10 925 0</w:t>
            </w:r>
            <w:r w:rsidRPr="00E52271">
              <w:rPr>
                <w:b/>
                <w:sz w:val="22"/>
              </w:rPr>
              <w:t>00</w:t>
            </w:r>
          </w:p>
        </w:tc>
      </w:tr>
    </w:tbl>
    <w:p w:rsidR="00934D95" w:rsidRPr="00E52271" w:rsidRDefault="00934D95" w:rsidP="00934D95">
      <w:pPr>
        <w:spacing w:line="240" w:lineRule="auto"/>
        <w:jc w:val="center"/>
        <w:rPr>
          <w:i/>
          <w:sz w:val="22"/>
        </w:rPr>
      </w:pPr>
      <w:r w:rsidRPr="00E52271">
        <w:rPr>
          <w:i/>
          <w:sz w:val="22"/>
        </w:rPr>
        <w:t>Źródło: Opracowanie własne</w:t>
      </w:r>
    </w:p>
    <w:p w:rsidR="00934D95" w:rsidRPr="00E52271" w:rsidRDefault="00934D95" w:rsidP="00934D95">
      <w:pPr>
        <w:spacing w:line="240" w:lineRule="auto"/>
        <w:jc w:val="center"/>
        <w:rPr>
          <w:i/>
          <w:sz w:val="22"/>
        </w:rPr>
      </w:pPr>
    </w:p>
    <w:p w:rsidR="00934D95" w:rsidRPr="00E52271" w:rsidRDefault="00934D95" w:rsidP="00934D95">
      <w:pPr>
        <w:spacing w:line="240" w:lineRule="auto"/>
        <w:jc w:val="center"/>
        <w:rPr>
          <w:b/>
          <w:sz w:val="22"/>
        </w:rPr>
      </w:pPr>
      <w:r w:rsidRPr="00E52271">
        <w:rPr>
          <w:b/>
          <w:sz w:val="22"/>
        </w:rPr>
        <w:t xml:space="preserve">Tabela Plan finansowy w zakresie </w:t>
      </w:r>
      <w:proofErr w:type="spellStart"/>
      <w:r w:rsidRPr="00E52271">
        <w:rPr>
          <w:b/>
          <w:sz w:val="22"/>
        </w:rPr>
        <w:t>poddziałania</w:t>
      </w:r>
      <w:proofErr w:type="spellEnd"/>
      <w:r w:rsidRPr="00E52271">
        <w:rPr>
          <w:b/>
          <w:sz w:val="22"/>
        </w:rPr>
        <w:t xml:space="preserve"> 19.2 PROW 2014–2020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1371"/>
        <w:gridCol w:w="1529"/>
        <w:gridCol w:w="2347"/>
        <w:gridCol w:w="1397"/>
      </w:tblGrid>
      <w:tr w:rsidR="00934D95" w:rsidRPr="00E52271" w:rsidTr="00BB6D07">
        <w:trPr>
          <w:jc w:val="center"/>
        </w:trPr>
        <w:tc>
          <w:tcPr>
            <w:tcW w:w="3226" w:type="dxa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340" w:type="dxa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Wkład EFRROW</w:t>
            </w:r>
          </w:p>
        </w:tc>
        <w:tc>
          <w:tcPr>
            <w:tcW w:w="1531" w:type="dxa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Budżet państwa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Wkład własny będący wkładem krajowych środków publicznych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RAZEM</w:t>
            </w:r>
          </w:p>
        </w:tc>
      </w:tr>
      <w:tr w:rsidR="00934D95" w:rsidRPr="00E52271" w:rsidTr="00BB6D07">
        <w:trPr>
          <w:jc w:val="center"/>
        </w:trPr>
        <w:tc>
          <w:tcPr>
            <w:tcW w:w="3226" w:type="dxa"/>
            <w:shd w:val="clear" w:color="auto" w:fill="E2EFD9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Beneficjenci inni niż jednostki sektora finansów publicznych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4 864 513,50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2 780 486,50</w:t>
            </w:r>
          </w:p>
        </w:tc>
        <w:tc>
          <w:tcPr>
            <w:tcW w:w="23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7645000,00</w:t>
            </w:r>
          </w:p>
        </w:tc>
      </w:tr>
      <w:tr w:rsidR="00934D95" w:rsidRPr="00E52271" w:rsidTr="00BB6D07">
        <w:trPr>
          <w:jc w:val="center"/>
        </w:trPr>
        <w:tc>
          <w:tcPr>
            <w:tcW w:w="3226" w:type="dxa"/>
            <w:shd w:val="clear" w:color="auto" w:fill="E2EFD9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Beneficjenci będący jednostkami sektora finansów publicznych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575 851,50</w:t>
            </w:r>
          </w:p>
        </w:tc>
        <w:tc>
          <w:tcPr>
            <w:tcW w:w="15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rPr>
                <w:b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329 148,50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905000,00</w:t>
            </w:r>
          </w:p>
        </w:tc>
      </w:tr>
      <w:tr w:rsidR="00934D95" w:rsidRPr="00E52271" w:rsidTr="00BB6D07">
        <w:trPr>
          <w:trHeight w:val="587"/>
          <w:jc w:val="center"/>
        </w:trPr>
        <w:tc>
          <w:tcPr>
            <w:tcW w:w="3226" w:type="dxa"/>
            <w:shd w:val="clear" w:color="auto" w:fill="A8D08D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Razem</w:t>
            </w:r>
          </w:p>
        </w:tc>
        <w:tc>
          <w:tcPr>
            <w:tcW w:w="13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5 440 365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2 780 486,50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4D95" w:rsidRPr="00E52271" w:rsidRDefault="00934D95" w:rsidP="00BB6D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329 148,50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934D95" w:rsidRPr="00E52271" w:rsidRDefault="00934D9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8 550 000</w:t>
            </w:r>
          </w:p>
        </w:tc>
      </w:tr>
    </w:tbl>
    <w:p w:rsidR="00934D95" w:rsidRPr="00E52271" w:rsidRDefault="00934D95" w:rsidP="00934D95">
      <w:pPr>
        <w:spacing w:line="240" w:lineRule="auto"/>
        <w:jc w:val="center"/>
        <w:rPr>
          <w:i/>
          <w:sz w:val="22"/>
        </w:rPr>
      </w:pPr>
      <w:r w:rsidRPr="00E52271">
        <w:rPr>
          <w:i/>
          <w:sz w:val="22"/>
        </w:rPr>
        <w:t>Źródło: Opracowanie własne</w:t>
      </w:r>
    </w:p>
    <w:p w:rsidR="00AF4D49" w:rsidRDefault="00AF4D49"/>
    <w:sectPr w:rsidR="00AF4D49" w:rsidSect="00D6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D95"/>
    <w:rsid w:val="00184466"/>
    <w:rsid w:val="006F7205"/>
    <w:rsid w:val="00934D95"/>
    <w:rsid w:val="00AF4D49"/>
    <w:rsid w:val="00D6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2017-07-21T08:28:00Z</dcterms:created>
  <dcterms:modified xsi:type="dcterms:W3CDTF">2017-07-21T08:29:00Z</dcterms:modified>
</cp:coreProperties>
</file>